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FB084" w14:textId="77777777" w:rsidR="00C64B1B" w:rsidRPr="00475D0B" w:rsidRDefault="00C64B1B" w:rsidP="00B556C9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475D0B" w14:paraId="399C7366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69538E45" w14:textId="7DEE94C8" w:rsidR="00A06425" w:rsidRPr="00475D0B" w:rsidRDefault="00A06425" w:rsidP="00B556C9">
            <w:pPr>
              <w:rPr>
                <w:bCs/>
                <w:iCs/>
                <w:sz w:val="18"/>
                <w:szCs w:val="18"/>
              </w:rPr>
            </w:pPr>
            <w:r w:rsidRPr="00475D0B">
              <w:rPr>
                <w:b/>
                <w:iCs/>
                <w:sz w:val="18"/>
                <w:szCs w:val="18"/>
              </w:rPr>
              <w:t>Nazwa dokumentu:</w:t>
            </w:r>
            <w:r w:rsidR="00B556C9" w:rsidRPr="00475D0B">
              <w:rPr>
                <w:b/>
                <w:iCs/>
                <w:sz w:val="18"/>
                <w:szCs w:val="18"/>
              </w:rPr>
              <w:t xml:space="preserve"> </w:t>
            </w:r>
            <w:r w:rsidR="00B556C9" w:rsidRPr="00475D0B">
              <w:rPr>
                <w:bCs/>
                <w:iCs/>
                <w:sz w:val="18"/>
                <w:szCs w:val="18"/>
              </w:rPr>
              <w:t>Dziedzictwo Kulturowe Podlasia – cyfryzacja i prezentacja zbiorów Muzeum Podlaskiego w Białymstoku</w:t>
            </w:r>
          </w:p>
          <w:p w14:paraId="4585D07F" w14:textId="77777777" w:rsidR="00A06425" w:rsidRPr="00475D0B" w:rsidRDefault="00A06425" w:rsidP="00B556C9">
            <w:pPr>
              <w:rPr>
                <w:b/>
                <w:i/>
                <w:sz w:val="18"/>
                <w:szCs w:val="18"/>
              </w:rPr>
            </w:pPr>
          </w:p>
        </w:tc>
      </w:tr>
      <w:tr w:rsidR="00A06425" w:rsidRPr="00475D0B" w14:paraId="741B8273" w14:textId="77777777" w:rsidTr="00A06425">
        <w:tc>
          <w:tcPr>
            <w:tcW w:w="562" w:type="dxa"/>
            <w:shd w:val="clear" w:color="auto" w:fill="auto"/>
            <w:vAlign w:val="center"/>
          </w:tcPr>
          <w:p w14:paraId="4203F309" w14:textId="77777777" w:rsidR="00A06425" w:rsidRPr="00475D0B" w:rsidRDefault="00A06425" w:rsidP="00B556C9">
            <w:pPr>
              <w:jc w:val="center"/>
              <w:rPr>
                <w:b/>
                <w:sz w:val="18"/>
                <w:szCs w:val="18"/>
              </w:rPr>
            </w:pPr>
            <w:r w:rsidRPr="00475D0B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8F7816" w14:textId="77777777" w:rsidR="00A06425" w:rsidRPr="00475D0B" w:rsidRDefault="00A06425" w:rsidP="00B556C9">
            <w:pPr>
              <w:jc w:val="center"/>
              <w:rPr>
                <w:b/>
                <w:sz w:val="18"/>
                <w:szCs w:val="18"/>
              </w:rPr>
            </w:pPr>
            <w:r w:rsidRPr="00475D0B">
              <w:rPr>
                <w:b/>
                <w:sz w:val="18"/>
                <w:szCs w:val="18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FEB957" w14:textId="77777777" w:rsidR="00A06425" w:rsidRPr="00475D0B" w:rsidRDefault="00A06425" w:rsidP="00B556C9">
            <w:pPr>
              <w:jc w:val="center"/>
              <w:rPr>
                <w:b/>
                <w:sz w:val="18"/>
                <w:szCs w:val="18"/>
              </w:rPr>
            </w:pPr>
            <w:r w:rsidRPr="00475D0B">
              <w:rPr>
                <w:b/>
                <w:sz w:val="18"/>
                <w:szCs w:val="18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518EDCF" w14:textId="77777777" w:rsidR="00A06425" w:rsidRPr="00475D0B" w:rsidRDefault="00A06425" w:rsidP="00B556C9">
            <w:pPr>
              <w:jc w:val="center"/>
              <w:rPr>
                <w:b/>
                <w:sz w:val="18"/>
                <w:szCs w:val="18"/>
              </w:rPr>
            </w:pPr>
            <w:r w:rsidRPr="00475D0B">
              <w:rPr>
                <w:b/>
                <w:sz w:val="18"/>
                <w:szCs w:val="18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686808AC" w14:textId="77777777" w:rsidR="00A06425" w:rsidRPr="00475D0B" w:rsidRDefault="00A06425" w:rsidP="00B556C9">
            <w:pPr>
              <w:jc w:val="center"/>
              <w:rPr>
                <w:b/>
                <w:sz w:val="18"/>
                <w:szCs w:val="18"/>
              </w:rPr>
            </w:pPr>
            <w:r w:rsidRPr="00475D0B">
              <w:rPr>
                <w:b/>
                <w:sz w:val="18"/>
                <w:szCs w:val="18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7A218C97" w14:textId="77777777" w:rsidR="00A06425" w:rsidRPr="00475D0B" w:rsidRDefault="00A06425" w:rsidP="00B556C9">
            <w:pPr>
              <w:jc w:val="center"/>
              <w:rPr>
                <w:b/>
                <w:sz w:val="18"/>
                <w:szCs w:val="18"/>
              </w:rPr>
            </w:pPr>
            <w:r w:rsidRPr="00475D0B">
              <w:rPr>
                <w:b/>
                <w:sz w:val="18"/>
                <w:szCs w:val="18"/>
              </w:rPr>
              <w:t>Odniesienie do uwagi</w:t>
            </w:r>
          </w:p>
        </w:tc>
      </w:tr>
      <w:tr w:rsidR="00A06425" w:rsidRPr="00475D0B" w14:paraId="2A2CB62A" w14:textId="77777777" w:rsidTr="001265A4">
        <w:tc>
          <w:tcPr>
            <w:tcW w:w="562" w:type="dxa"/>
            <w:shd w:val="clear" w:color="auto" w:fill="auto"/>
            <w:vAlign w:val="center"/>
          </w:tcPr>
          <w:p w14:paraId="5E6870E2" w14:textId="7B2162E3" w:rsidR="00A06425" w:rsidRPr="00475D0B" w:rsidRDefault="00A06425" w:rsidP="001265A4">
            <w:pPr>
              <w:jc w:val="center"/>
              <w:rPr>
                <w:b/>
                <w:sz w:val="18"/>
                <w:szCs w:val="18"/>
              </w:rPr>
            </w:pPr>
            <w:r w:rsidRPr="00475D0B">
              <w:rPr>
                <w:b/>
                <w:sz w:val="18"/>
                <w:szCs w:val="18"/>
              </w:rPr>
              <w:t>1</w:t>
            </w:r>
            <w:r w:rsidR="0032266F" w:rsidRPr="00475D0B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BF78B9" w14:textId="6DC6F30F" w:rsidR="00A06425" w:rsidRPr="00475D0B" w:rsidRDefault="00B556C9" w:rsidP="001265A4">
            <w:pPr>
              <w:jc w:val="center"/>
              <w:rPr>
                <w:b/>
                <w:sz w:val="18"/>
                <w:szCs w:val="18"/>
              </w:rPr>
            </w:pPr>
            <w:r w:rsidRPr="00475D0B">
              <w:rPr>
                <w:b/>
                <w:sz w:val="18"/>
                <w:szCs w:val="18"/>
              </w:rPr>
              <w:t>NDAP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7873D41" w14:textId="5A705DA1" w:rsidR="00A06425" w:rsidRPr="00475D0B" w:rsidRDefault="00B556C9" w:rsidP="001265A4">
            <w:pPr>
              <w:jc w:val="center"/>
              <w:rPr>
                <w:sz w:val="18"/>
                <w:szCs w:val="18"/>
              </w:rPr>
            </w:pPr>
            <w:r w:rsidRPr="00475D0B">
              <w:rPr>
                <w:sz w:val="18"/>
                <w:szCs w:val="18"/>
              </w:rPr>
              <w:t>1.1. Identyfikacja problemu i potrzeb</w:t>
            </w:r>
          </w:p>
        </w:tc>
        <w:tc>
          <w:tcPr>
            <w:tcW w:w="4678" w:type="dxa"/>
            <w:shd w:val="clear" w:color="auto" w:fill="auto"/>
          </w:tcPr>
          <w:p w14:paraId="5A45BD9B" w14:textId="7666C29B" w:rsidR="00A06425" w:rsidRPr="00475D0B" w:rsidRDefault="00047E99" w:rsidP="00066299">
            <w:pPr>
              <w:jc w:val="both"/>
              <w:rPr>
                <w:sz w:val="18"/>
                <w:szCs w:val="18"/>
              </w:rPr>
            </w:pPr>
            <w:r w:rsidRPr="00475D0B">
              <w:rPr>
                <w:sz w:val="18"/>
                <w:szCs w:val="18"/>
              </w:rPr>
              <w:t xml:space="preserve">Należy odnotować konieczność usystematyzowania informacji dotyczących opisu interesariuszy opiniowanego projektu. Zastosowany w opisie podział nie spełnia następujących warunków będących podstawą wprowadzenia jakiekolwiek klasyfikacji: rozłączności, </w:t>
            </w:r>
            <w:proofErr w:type="spellStart"/>
            <w:r w:rsidRPr="00475D0B">
              <w:rPr>
                <w:sz w:val="18"/>
                <w:szCs w:val="18"/>
              </w:rPr>
              <w:t>wyczerpywalności</w:t>
            </w:r>
            <w:proofErr w:type="spellEnd"/>
            <w:r w:rsidRPr="00475D0B">
              <w:rPr>
                <w:sz w:val="18"/>
                <w:szCs w:val="18"/>
              </w:rPr>
              <w:t xml:space="preserve"> i wyłączności. </w:t>
            </w:r>
            <w:r w:rsidR="00066299" w:rsidRPr="00475D0B">
              <w:rPr>
                <w:sz w:val="18"/>
                <w:szCs w:val="18"/>
              </w:rPr>
              <w:t>Jedenaście</w:t>
            </w:r>
            <w:r w:rsidRPr="00475D0B">
              <w:rPr>
                <w:color w:val="C00000"/>
                <w:sz w:val="18"/>
                <w:szCs w:val="18"/>
              </w:rPr>
              <w:t xml:space="preserve"> </w:t>
            </w:r>
            <w:r w:rsidRPr="00475D0B">
              <w:rPr>
                <w:sz w:val="18"/>
                <w:szCs w:val="18"/>
              </w:rPr>
              <w:t xml:space="preserve">wierszy tabeli umieszczonej w punkcie 1.1. opisu (badacze, </w:t>
            </w:r>
            <w:r w:rsidR="00066299" w:rsidRPr="00475D0B">
              <w:rPr>
                <w:sz w:val="18"/>
                <w:szCs w:val="18"/>
              </w:rPr>
              <w:t xml:space="preserve">uczniowie szkół publicznych, „pasjonaci”, osoby z niepełnosprawnościami, turyści, członkowie mniejszości narodowych i etnicznych, członkowie środowiska artystycznego, przedstawiciele Polonii, seniorzy, dziennikarze czy pracownicy Muzeum Podlaskiego w Białymstoku) </w:t>
            </w:r>
            <w:r w:rsidRPr="00475D0B">
              <w:rPr>
                <w:sz w:val="18"/>
                <w:szCs w:val="18"/>
              </w:rPr>
              <w:t xml:space="preserve">dotyczy </w:t>
            </w:r>
            <w:r w:rsidRPr="00475D0B">
              <w:rPr>
                <w:i/>
                <w:iCs/>
                <w:sz w:val="18"/>
                <w:szCs w:val="18"/>
              </w:rPr>
              <w:t>de facto</w:t>
            </w:r>
            <w:r w:rsidRPr="00475D0B">
              <w:rPr>
                <w:sz w:val="18"/>
                <w:szCs w:val="18"/>
              </w:rPr>
              <w:t xml:space="preserve"> </w:t>
            </w:r>
            <w:r w:rsidR="00066299" w:rsidRPr="00475D0B">
              <w:rPr>
                <w:sz w:val="18"/>
                <w:szCs w:val="18"/>
              </w:rPr>
              <w:t xml:space="preserve">potencjalnych </w:t>
            </w:r>
            <w:r w:rsidRPr="00475D0B">
              <w:rPr>
                <w:sz w:val="18"/>
                <w:szCs w:val="18"/>
              </w:rPr>
              <w:t xml:space="preserve">użytkowników </w:t>
            </w:r>
            <w:r w:rsidR="00066299" w:rsidRPr="00475D0B">
              <w:rPr>
                <w:sz w:val="18"/>
                <w:szCs w:val="18"/>
              </w:rPr>
              <w:t>Muzeum Podlaskiego w Białymstoku (podział przedmiotowy).</w:t>
            </w:r>
            <w:r w:rsidRPr="00475D0B">
              <w:rPr>
                <w:sz w:val="18"/>
                <w:szCs w:val="18"/>
              </w:rPr>
              <w:t xml:space="preserve"> </w:t>
            </w:r>
            <w:r w:rsidR="00066299" w:rsidRPr="00475D0B">
              <w:rPr>
                <w:sz w:val="18"/>
                <w:szCs w:val="18"/>
              </w:rPr>
              <w:t>N</w:t>
            </w:r>
            <w:r w:rsidRPr="00475D0B">
              <w:rPr>
                <w:sz w:val="18"/>
                <w:szCs w:val="18"/>
              </w:rPr>
              <w:t xml:space="preserve">atomiast </w:t>
            </w:r>
            <w:r w:rsidR="00066299" w:rsidRPr="00475D0B">
              <w:rPr>
                <w:sz w:val="18"/>
                <w:szCs w:val="18"/>
              </w:rPr>
              <w:t>pozostałe</w:t>
            </w:r>
            <w:r w:rsidRPr="00475D0B">
              <w:rPr>
                <w:sz w:val="18"/>
                <w:szCs w:val="18"/>
              </w:rPr>
              <w:t xml:space="preserve"> odnoszą się do konkretnych </w:t>
            </w:r>
            <w:r w:rsidR="00066299" w:rsidRPr="00475D0B">
              <w:rPr>
                <w:sz w:val="18"/>
                <w:szCs w:val="18"/>
              </w:rPr>
              <w:t>instytucji i podmiotów zainteresowanych</w:t>
            </w:r>
            <w:r w:rsidRPr="00475D0B">
              <w:rPr>
                <w:sz w:val="18"/>
                <w:szCs w:val="18"/>
              </w:rPr>
              <w:t xml:space="preserve"> w projekcie (podział przedmiotowy</w:t>
            </w:r>
            <w:r w:rsidR="00066299" w:rsidRPr="00475D0B">
              <w:rPr>
                <w:sz w:val="18"/>
                <w:szCs w:val="18"/>
              </w:rPr>
              <w:t xml:space="preserve">). </w:t>
            </w:r>
            <w:r w:rsidR="003E59C6">
              <w:rPr>
                <w:sz w:val="18"/>
                <w:szCs w:val="18"/>
              </w:rPr>
              <w:t>Systematyzacja ta k</w:t>
            </w:r>
            <w:r w:rsidRPr="00475D0B">
              <w:rPr>
                <w:sz w:val="18"/>
                <w:szCs w:val="18"/>
              </w:rPr>
              <w:t xml:space="preserve">rzyżuje się </w:t>
            </w:r>
            <w:r w:rsidR="003E59C6">
              <w:rPr>
                <w:sz w:val="18"/>
                <w:szCs w:val="18"/>
              </w:rPr>
              <w:t>z</w:t>
            </w:r>
            <w:r w:rsidRPr="00475D0B">
              <w:rPr>
                <w:sz w:val="18"/>
                <w:szCs w:val="18"/>
              </w:rPr>
              <w:t xml:space="preserve"> podziałem według kryterium podmiotowości. Informacje dotyczące użytkowników </w:t>
            </w:r>
            <w:r w:rsidR="00066299" w:rsidRPr="00475D0B">
              <w:rPr>
                <w:sz w:val="18"/>
                <w:szCs w:val="18"/>
              </w:rPr>
              <w:t xml:space="preserve">muzealiów (jedenaście opisanych </w:t>
            </w:r>
            <w:r w:rsidRPr="00475D0B">
              <w:rPr>
                <w:sz w:val="18"/>
                <w:szCs w:val="18"/>
              </w:rPr>
              <w:t>wierszy tabeli</w:t>
            </w:r>
            <w:r w:rsidR="00066299" w:rsidRPr="00475D0B">
              <w:rPr>
                <w:sz w:val="18"/>
                <w:szCs w:val="18"/>
              </w:rPr>
              <w:t>)</w:t>
            </w:r>
            <w:r w:rsidRPr="00475D0B">
              <w:rPr>
                <w:sz w:val="18"/>
                <w:szCs w:val="18"/>
              </w:rPr>
              <w:t>, nie mają charakteru rozłącznego, przez co systematyzacja ta może utrudniać ocenę całego projektu. Powoduje to kolejny problem, tj. powtarzanie szczegółowej charakterystyki zidentyfikowanych problemów, a każdym ze wskazanych wyżej wierszy opisu projektu.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4087B8BA" w14:textId="7CD192F8" w:rsidR="00A06425" w:rsidRPr="00475D0B" w:rsidRDefault="00066299" w:rsidP="00066299">
            <w:pPr>
              <w:jc w:val="both"/>
              <w:rPr>
                <w:sz w:val="18"/>
                <w:szCs w:val="18"/>
              </w:rPr>
            </w:pPr>
            <w:r w:rsidRPr="00475D0B">
              <w:rPr>
                <w:sz w:val="18"/>
                <w:szCs w:val="18"/>
              </w:rPr>
              <w:t>Rozwiązaniem zasygnalizowanego problemu może być wprowadzenie jednego wiersza, w którym można opisać wszystkich potencjalnych interesariuszy projektu, tj. ich użytkowników, z podziałem na przykładowe cele prowadzonych kwerend (naukowe, administracyjne, genealogiczne itd.). Pozwoliło by to na połączenie powtarzających się treści dotyczących szczegółowej charakterystyki zidentyfikowanych problemów w jednym miejscu.</w:t>
            </w:r>
          </w:p>
        </w:tc>
        <w:tc>
          <w:tcPr>
            <w:tcW w:w="1359" w:type="dxa"/>
          </w:tcPr>
          <w:p w14:paraId="31C6941C" w14:textId="77777777" w:rsidR="00A06425" w:rsidRPr="00475D0B" w:rsidRDefault="00A06425" w:rsidP="00B556C9">
            <w:pPr>
              <w:jc w:val="center"/>
              <w:rPr>
                <w:sz w:val="18"/>
                <w:szCs w:val="18"/>
              </w:rPr>
            </w:pPr>
          </w:p>
        </w:tc>
      </w:tr>
      <w:tr w:rsidR="00066299" w:rsidRPr="00475D0B" w14:paraId="25A5CC44" w14:textId="77777777" w:rsidTr="001265A4">
        <w:tc>
          <w:tcPr>
            <w:tcW w:w="562" w:type="dxa"/>
            <w:shd w:val="clear" w:color="auto" w:fill="auto"/>
            <w:vAlign w:val="center"/>
          </w:tcPr>
          <w:p w14:paraId="57985709" w14:textId="4ADB9347" w:rsidR="00066299" w:rsidRPr="00475D0B" w:rsidRDefault="0032266F" w:rsidP="001265A4">
            <w:pPr>
              <w:jc w:val="center"/>
              <w:rPr>
                <w:b/>
                <w:sz w:val="18"/>
                <w:szCs w:val="18"/>
              </w:rPr>
            </w:pPr>
            <w:r w:rsidRPr="00475D0B">
              <w:rPr>
                <w:b/>
                <w:sz w:val="18"/>
                <w:szCs w:val="18"/>
              </w:rPr>
              <w:t>2.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4FCC3D" w14:textId="7441EB40" w:rsidR="00066299" w:rsidRPr="00475D0B" w:rsidRDefault="0032266F" w:rsidP="001265A4">
            <w:pPr>
              <w:jc w:val="center"/>
              <w:rPr>
                <w:b/>
                <w:sz w:val="18"/>
                <w:szCs w:val="18"/>
              </w:rPr>
            </w:pPr>
            <w:r w:rsidRPr="00475D0B">
              <w:rPr>
                <w:b/>
                <w:sz w:val="18"/>
                <w:szCs w:val="18"/>
              </w:rPr>
              <w:t>NDAP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5AFD14" w14:textId="5912FCFA" w:rsidR="00066299" w:rsidRPr="00475D0B" w:rsidRDefault="00066299" w:rsidP="001265A4">
            <w:pPr>
              <w:jc w:val="center"/>
              <w:rPr>
                <w:sz w:val="18"/>
                <w:szCs w:val="18"/>
              </w:rPr>
            </w:pPr>
            <w:r w:rsidRPr="00475D0B">
              <w:rPr>
                <w:sz w:val="18"/>
                <w:szCs w:val="18"/>
              </w:rPr>
              <w:t>1.1. Identyfikacja problemu i potrzeb</w:t>
            </w:r>
          </w:p>
        </w:tc>
        <w:tc>
          <w:tcPr>
            <w:tcW w:w="4678" w:type="dxa"/>
            <w:shd w:val="clear" w:color="auto" w:fill="auto"/>
          </w:tcPr>
          <w:p w14:paraId="67ABB597" w14:textId="10FFF978" w:rsidR="00066299" w:rsidRPr="00475D0B" w:rsidRDefault="00066299" w:rsidP="00066299">
            <w:pPr>
              <w:jc w:val="both"/>
              <w:rPr>
                <w:sz w:val="18"/>
                <w:szCs w:val="18"/>
              </w:rPr>
            </w:pPr>
            <w:r w:rsidRPr="00475D0B">
              <w:rPr>
                <w:sz w:val="18"/>
                <w:szCs w:val="18"/>
              </w:rPr>
              <w:t>Trudno uznać za uzasadnione potraktowanie w oddzielnych wierszach badaczy i uczelni, nauczycieli historii i szkół publicznych czy „pasjonatów” i organizacji społecznych/instytucji kultury. Warto bowiem zauważyć, że badacze (w zdecydowanej większości) prowadzą badania na uczelniach, nauczyciele wykorzystują źródła historyczne, w tym muzealia, w szkołach</w:t>
            </w:r>
            <w:r w:rsidR="0032266F" w:rsidRPr="00475D0B">
              <w:rPr>
                <w:sz w:val="18"/>
                <w:szCs w:val="18"/>
              </w:rPr>
              <w:t xml:space="preserve">, jako pomoc dydaktyczna a pasjonaci, np. historii lokalnej/regionalnej, </w:t>
            </w:r>
            <w:r w:rsidR="003E59C6">
              <w:rPr>
                <w:sz w:val="18"/>
                <w:szCs w:val="18"/>
              </w:rPr>
              <w:t>są skupieni m.in.</w:t>
            </w:r>
            <w:r w:rsidR="0032266F" w:rsidRPr="00475D0B">
              <w:rPr>
                <w:sz w:val="18"/>
                <w:szCs w:val="18"/>
              </w:rPr>
              <w:t xml:space="preserve"> w </w:t>
            </w:r>
            <w:r w:rsidR="003E59C6">
              <w:rPr>
                <w:sz w:val="18"/>
                <w:szCs w:val="18"/>
              </w:rPr>
              <w:t>o</w:t>
            </w:r>
            <w:r w:rsidR="0032266F" w:rsidRPr="00475D0B">
              <w:rPr>
                <w:sz w:val="18"/>
                <w:szCs w:val="18"/>
              </w:rPr>
              <w:t>rganizacj</w:t>
            </w:r>
            <w:r w:rsidR="003E59C6">
              <w:rPr>
                <w:sz w:val="18"/>
                <w:szCs w:val="18"/>
              </w:rPr>
              <w:t>ach</w:t>
            </w:r>
            <w:r w:rsidR="0032266F" w:rsidRPr="00475D0B">
              <w:rPr>
                <w:sz w:val="18"/>
                <w:szCs w:val="18"/>
              </w:rPr>
              <w:t xml:space="preserve"> społecznych </w:t>
            </w:r>
            <w:r w:rsidR="003E59C6">
              <w:rPr>
                <w:sz w:val="18"/>
                <w:szCs w:val="18"/>
              </w:rPr>
              <w:t xml:space="preserve">lub tez </w:t>
            </w:r>
            <w:r w:rsidR="0032266F" w:rsidRPr="00475D0B">
              <w:rPr>
                <w:sz w:val="18"/>
                <w:szCs w:val="18"/>
              </w:rPr>
              <w:t xml:space="preserve">pracownikami instytucji kultury. 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75BDE8C2" w14:textId="77777777" w:rsidR="00066299" w:rsidRPr="00475D0B" w:rsidRDefault="0032266F" w:rsidP="00066299">
            <w:pPr>
              <w:jc w:val="both"/>
              <w:rPr>
                <w:sz w:val="18"/>
                <w:szCs w:val="18"/>
              </w:rPr>
            </w:pPr>
            <w:r w:rsidRPr="00475D0B">
              <w:rPr>
                <w:sz w:val="18"/>
                <w:szCs w:val="18"/>
              </w:rPr>
              <w:t>Rozwiązaniem zasygnalizowanego problemu może być wprowadzenie jednego wiersza, w którym można opisać wszystkich potencjalnych interesariuszy projektu, tj. ich użytkowników, z podziałem na przykładowe cele prowadzonych kwerend (naukowe, administracyjne, genealogiczne itd.). Pozwoliło by to na połączenie powtarzających się treści dotyczących szczegółowej charakterystyki zidentyfikowanych problemów w jednym miejscu.</w:t>
            </w:r>
          </w:p>
          <w:p w14:paraId="41624D14" w14:textId="75788477" w:rsidR="0032266F" w:rsidRPr="00475D0B" w:rsidRDefault="0032266F" w:rsidP="00066299">
            <w:pPr>
              <w:jc w:val="both"/>
              <w:rPr>
                <w:sz w:val="18"/>
                <w:szCs w:val="18"/>
              </w:rPr>
            </w:pPr>
            <w:r w:rsidRPr="00475D0B">
              <w:rPr>
                <w:sz w:val="18"/>
                <w:szCs w:val="18"/>
              </w:rPr>
              <w:t xml:space="preserve">Zachowując dotychczasowy podział niezbędnym wydaje się podanie dodatkowych informacji wskazujących na różnice w wykorzystaniu muzealiów udostępnionych i </w:t>
            </w:r>
            <w:proofErr w:type="spellStart"/>
            <w:r w:rsidRPr="00475D0B">
              <w:rPr>
                <w:sz w:val="18"/>
                <w:szCs w:val="18"/>
              </w:rPr>
              <w:t>internecie</w:t>
            </w:r>
            <w:proofErr w:type="spellEnd"/>
            <w:r w:rsidRPr="00475D0B">
              <w:rPr>
                <w:sz w:val="18"/>
                <w:szCs w:val="18"/>
              </w:rPr>
              <w:t xml:space="preserve"> przez badaczy i uczelnie, nauczycieli i szkoły itd. </w:t>
            </w:r>
          </w:p>
        </w:tc>
        <w:tc>
          <w:tcPr>
            <w:tcW w:w="1359" w:type="dxa"/>
          </w:tcPr>
          <w:p w14:paraId="7333CF54" w14:textId="77777777" w:rsidR="00066299" w:rsidRPr="00475D0B" w:rsidRDefault="00066299" w:rsidP="00B556C9">
            <w:pPr>
              <w:jc w:val="center"/>
              <w:rPr>
                <w:sz w:val="18"/>
                <w:szCs w:val="18"/>
              </w:rPr>
            </w:pPr>
          </w:p>
        </w:tc>
      </w:tr>
      <w:tr w:rsidR="00047E99" w:rsidRPr="00475D0B" w14:paraId="243081A8" w14:textId="77777777" w:rsidTr="001265A4">
        <w:tc>
          <w:tcPr>
            <w:tcW w:w="562" w:type="dxa"/>
            <w:shd w:val="clear" w:color="auto" w:fill="auto"/>
            <w:vAlign w:val="center"/>
          </w:tcPr>
          <w:p w14:paraId="34EE3427" w14:textId="64ADEB86" w:rsidR="00047E99" w:rsidRPr="00475D0B" w:rsidRDefault="0032266F" w:rsidP="001265A4">
            <w:pPr>
              <w:jc w:val="center"/>
              <w:rPr>
                <w:b/>
                <w:sz w:val="18"/>
                <w:szCs w:val="18"/>
              </w:rPr>
            </w:pPr>
            <w:r w:rsidRPr="00475D0B">
              <w:rPr>
                <w:b/>
                <w:sz w:val="18"/>
                <w:szCs w:val="18"/>
              </w:rPr>
              <w:t>3.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53860C" w14:textId="2E352184" w:rsidR="00047E99" w:rsidRPr="00475D0B" w:rsidRDefault="00047E99" w:rsidP="001265A4">
            <w:pPr>
              <w:jc w:val="center"/>
              <w:rPr>
                <w:b/>
                <w:sz w:val="18"/>
                <w:szCs w:val="18"/>
              </w:rPr>
            </w:pPr>
            <w:r w:rsidRPr="00475D0B">
              <w:rPr>
                <w:b/>
                <w:sz w:val="18"/>
                <w:szCs w:val="18"/>
              </w:rPr>
              <w:t>NDAP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4A57F1" w14:textId="47539E7E" w:rsidR="00047E99" w:rsidRPr="00475D0B" w:rsidRDefault="00047E99" w:rsidP="001265A4">
            <w:pPr>
              <w:jc w:val="center"/>
              <w:rPr>
                <w:sz w:val="18"/>
                <w:szCs w:val="18"/>
              </w:rPr>
            </w:pPr>
            <w:r w:rsidRPr="00475D0B">
              <w:rPr>
                <w:sz w:val="18"/>
                <w:szCs w:val="18"/>
              </w:rPr>
              <w:t>1.1. Identyfikacja problemu i potrzeb</w:t>
            </w:r>
          </w:p>
        </w:tc>
        <w:tc>
          <w:tcPr>
            <w:tcW w:w="4678" w:type="dxa"/>
            <w:shd w:val="clear" w:color="auto" w:fill="auto"/>
          </w:tcPr>
          <w:p w14:paraId="7B1CB3BB" w14:textId="777E0A0F" w:rsidR="00047E99" w:rsidRPr="00475D0B" w:rsidRDefault="00047E99" w:rsidP="00047E99">
            <w:pPr>
              <w:jc w:val="both"/>
              <w:rPr>
                <w:sz w:val="18"/>
                <w:szCs w:val="18"/>
              </w:rPr>
            </w:pPr>
            <w:r w:rsidRPr="00475D0B">
              <w:rPr>
                <w:sz w:val="18"/>
                <w:szCs w:val="18"/>
              </w:rPr>
              <w:t xml:space="preserve">W pierwszym wierszu tabeli wskazano na możliwości wykorzystania zasobu Muzeum Podlaskiego w Białymstoku udostępnionego w </w:t>
            </w:r>
            <w:proofErr w:type="spellStart"/>
            <w:r w:rsidRPr="00475D0B">
              <w:rPr>
                <w:sz w:val="18"/>
                <w:szCs w:val="18"/>
              </w:rPr>
              <w:t>internecie</w:t>
            </w:r>
            <w:proofErr w:type="spellEnd"/>
            <w:r w:rsidRPr="00475D0B">
              <w:rPr>
                <w:sz w:val="18"/>
                <w:szCs w:val="18"/>
              </w:rPr>
              <w:t xml:space="preserve"> do prowadzenia badań naukowych. Z uwagi na regionalny charakter muzealiów zgromadzonych </w:t>
            </w:r>
            <w:r w:rsidR="003E59C6">
              <w:rPr>
                <w:sz w:val="18"/>
                <w:szCs w:val="18"/>
              </w:rPr>
              <w:t>tam zgromadzonych</w:t>
            </w:r>
            <w:r w:rsidRPr="00475D0B">
              <w:rPr>
                <w:sz w:val="18"/>
                <w:szCs w:val="18"/>
              </w:rPr>
              <w:t xml:space="preserve"> w opisie tego punktu brakuje podkreślenia zasadniczej kwestii z punktu specyfiki zasobu Muzeum Podlaskiego w Białymstoku i jego potencjalnego wykorzystywania jako źródło historyczne. Muzealia tam </w:t>
            </w:r>
            <w:r w:rsidR="003E59C6">
              <w:rPr>
                <w:sz w:val="18"/>
                <w:szCs w:val="18"/>
              </w:rPr>
              <w:t>zachowane</w:t>
            </w:r>
            <w:r w:rsidRPr="00475D0B">
              <w:rPr>
                <w:sz w:val="18"/>
                <w:szCs w:val="18"/>
              </w:rPr>
              <w:t xml:space="preserve"> będą bowiem używane w pierwszej kolejności w badania historii lokalnej i regionalnej. Problem ten został całkowicie pominięty, co może dziwić z uwagi na regionalny charakter tej placówki i dotychczasowych jej interesariuszy. </w:t>
            </w:r>
          </w:p>
        </w:tc>
        <w:tc>
          <w:tcPr>
            <w:tcW w:w="5812" w:type="dxa"/>
            <w:shd w:val="clear" w:color="auto" w:fill="auto"/>
          </w:tcPr>
          <w:p w14:paraId="1727FE74" w14:textId="77777777" w:rsidR="00047E99" w:rsidRPr="00475D0B" w:rsidRDefault="00047E99" w:rsidP="00047E9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9" w:type="dxa"/>
          </w:tcPr>
          <w:p w14:paraId="745962CE" w14:textId="77777777" w:rsidR="00047E99" w:rsidRPr="00475D0B" w:rsidRDefault="00047E99" w:rsidP="00047E99">
            <w:pPr>
              <w:jc w:val="center"/>
              <w:rPr>
                <w:sz w:val="18"/>
                <w:szCs w:val="18"/>
              </w:rPr>
            </w:pPr>
          </w:p>
        </w:tc>
      </w:tr>
      <w:tr w:rsidR="00047E99" w:rsidRPr="00475D0B" w14:paraId="7831000D" w14:textId="77777777" w:rsidTr="001265A4">
        <w:tc>
          <w:tcPr>
            <w:tcW w:w="562" w:type="dxa"/>
            <w:shd w:val="clear" w:color="auto" w:fill="auto"/>
            <w:vAlign w:val="center"/>
          </w:tcPr>
          <w:p w14:paraId="10552162" w14:textId="7F31609F" w:rsidR="00047E99" w:rsidRPr="00475D0B" w:rsidRDefault="0032266F" w:rsidP="001265A4">
            <w:pPr>
              <w:jc w:val="center"/>
              <w:rPr>
                <w:b/>
                <w:sz w:val="18"/>
                <w:szCs w:val="18"/>
              </w:rPr>
            </w:pPr>
            <w:r w:rsidRPr="00475D0B">
              <w:rPr>
                <w:b/>
                <w:sz w:val="18"/>
                <w:szCs w:val="18"/>
              </w:rPr>
              <w:lastRenderedPageBreak/>
              <w:t>4.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EE61F4" w14:textId="468175BB" w:rsidR="00047E99" w:rsidRPr="00475D0B" w:rsidRDefault="0032266F" w:rsidP="001265A4">
            <w:pPr>
              <w:jc w:val="center"/>
              <w:rPr>
                <w:b/>
                <w:sz w:val="18"/>
                <w:szCs w:val="18"/>
              </w:rPr>
            </w:pPr>
            <w:r w:rsidRPr="00475D0B">
              <w:rPr>
                <w:b/>
                <w:sz w:val="18"/>
                <w:szCs w:val="18"/>
              </w:rPr>
              <w:t>NDAP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308DB4" w14:textId="58A61E16" w:rsidR="00047E99" w:rsidRPr="00475D0B" w:rsidRDefault="00047E99" w:rsidP="001265A4">
            <w:pPr>
              <w:jc w:val="center"/>
              <w:rPr>
                <w:sz w:val="18"/>
                <w:szCs w:val="18"/>
              </w:rPr>
            </w:pPr>
            <w:r w:rsidRPr="00475D0B">
              <w:rPr>
                <w:sz w:val="18"/>
                <w:szCs w:val="18"/>
              </w:rPr>
              <w:t>1.1. Identyfikacja problemu i potrzeb</w:t>
            </w:r>
          </w:p>
        </w:tc>
        <w:tc>
          <w:tcPr>
            <w:tcW w:w="4678" w:type="dxa"/>
            <w:shd w:val="clear" w:color="auto" w:fill="auto"/>
          </w:tcPr>
          <w:p w14:paraId="71B917D7" w14:textId="0E532861" w:rsidR="00047E99" w:rsidRPr="00475D0B" w:rsidRDefault="00047E99" w:rsidP="00047E99">
            <w:pPr>
              <w:jc w:val="both"/>
              <w:rPr>
                <w:sz w:val="18"/>
                <w:szCs w:val="18"/>
              </w:rPr>
            </w:pPr>
            <w:r w:rsidRPr="00475D0B">
              <w:rPr>
                <w:sz w:val="18"/>
                <w:szCs w:val="18"/>
              </w:rPr>
              <w:t xml:space="preserve">W tabeli wskazano mniejszości narodowych i etnicznych jako potencjalnych interesariuszy projektu. Opis społeczności mniejszościowych ograniczono do </w:t>
            </w:r>
            <w:r w:rsidR="003E59C6">
              <w:rPr>
                <w:sz w:val="18"/>
                <w:szCs w:val="18"/>
              </w:rPr>
              <w:t>tych</w:t>
            </w:r>
            <w:r w:rsidRPr="00475D0B">
              <w:rPr>
                <w:sz w:val="18"/>
                <w:szCs w:val="18"/>
              </w:rPr>
              <w:t xml:space="preserve"> zamieszkujących województwo podlaskie. Takie postępowanie nie wydaje się uzasadnione. Z zasobu Muzeum Podlaskiego w Białymstoku </w:t>
            </w:r>
            <w:r w:rsidR="003E59C6" w:rsidRPr="00475D0B">
              <w:rPr>
                <w:sz w:val="18"/>
                <w:szCs w:val="18"/>
              </w:rPr>
              <w:t xml:space="preserve">prezentowanego w </w:t>
            </w:r>
            <w:proofErr w:type="spellStart"/>
            <w:r w:rsidR="003E59C6" w:rsidRPr="00475D0B">
              <w:rPr>
                <w:sz w:val="18"/>
                <w:szCs w:val="18"/>
              </w:rPr>
              <w:t>internecie</w:t>
            </w:r>
            <w:proofErr w:type="spellEnd"/>
            <w:r w:rsidR="003E59C6" w:rsidRPr="00475D0B">
              <w:rPr>
                <w:sz w:val="18"/>
                <w:szCs w:val="18"/>
              </w:rPr>
              <w:t xml:space="preserve"> </w:t>
            </w:r>
            <w:r w:rsidRPr="00475D0B">
              <w:rPr>
                <w:sz w:val="18"/>
                <w:szCs w:val="18"/>
              </w:rPr>
              <w:t xml:space="preserve">będą mogli bowiem skorzystać wszyscy zainteresowani, w tym przedstawiciele mniejszości narodowych i etnicznych zamieszkali w </w:t>
            </w:r>
            <w:r w:rsidR="002337B4">
              <w:rPr>
                <w:sz w:val="18"/>
                <w:szCs w:val="18"/>
              </w:rPr>
              <w:t xml:space="preserve">na terenie każdej </w:t>
            </w:r>
            <w:r w:rsidRPr="00475D0B">
              <w:rPr>
                <w:sz w:val="18"/>
                <w:szCs w:val="18"/>
              </w:rPr>
              <w:t>jednostk</w:t>
            </w:r>
            <w:r w:rsidR="002337B4">
              <w:rPr>
                <w:sz w:val="18"/>
                <w:szCs w:val="18"/>
              </w:rPr>
              <w:t xml:space="preserve">i terytorialnej </w:t>
            </w:r>
            <w:r w:rsidRPr="00475D0B">
              <w:rPr>
                <w:sz w:val="18"/>
                <w:szCs w:val="18"/>
              </w:rPr>
              <w:t xml:space="preserve">RP. Ograniczenie się do skali województwa podlaskiego będzie </w:t>
            </w:r>
            <w:r w:rsidR="002337B4">
              <w:rPr>
                <w:sz w:val="18"/>
                <w:szCs w:val="18"/>
              </w:rPr>
              <w:t xml:space="preserve">też </w:t>
            </w:r>
            <w:r w:rsidRPr="00475D0B">
              <w:rPr>
                <w:sz w:val="18"/>
                <w:szCs w:val="18"/>
              </w:rPr>
              <w:t xml:space="preserve">przykładem niekonsekwentnego opisania argumentów świadczących o zasadności projektu. Warto </w:t>
            </w:r>
            <w:r w:rsidR="002337B4">
              <w:rPr>
                <w:sz w:val="18"/>
                <w:szCs w:val="18"/>
              </w:rPr>
              <w:t xml:space="preserve">bowiem </w:t>
            </w:r>
            <w:r w:rsidRPr="00475D0B">
              <w:rPr>
                <w:sz w:val="18"/>
                <w:szCs w:val="18"/>
              </w:rPr>
              <w:t>zauważyć, że większość innych argumentów przedstawionych w punkcie 1.1. odnosi się do skali całego kraju (np. liczba instytucji kultury, liczba uczelni, liczba nauczycieli historii itd.)</w:t>
            </w:r>
            <w:r w:rsidR="002337B4">
              <w:rPr>
                <w:sz w:val="18"/>
                <w:szCs w:val="18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14:paraId="64D4910F" w14:textId="77777777" w:rsidR="00047E99" w:rsidRPr="00475D0B" w:rsidRDefault="00047E99" w:rsidP="00047E9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9" w:type="dxa"/>
          </w:tcPr>
          <w:p w14:paraId="49CDD353" w14:textId="77777777" w:rsidR="00047E99" w:rsidRPr="00475D0B" w:rsidRDefault="00047E99" w:rsidP="00047E99">
            <w:pPr>
              <w:jc w:val="center"/>
              <w:rPr>
                <w:sz w:val="18"/>
                <w:szCs w:val="18"/>
              </w:rPr>
            </w:pPr>
          </w:p>
        </w:tc>
      </w:tr>
      <w:tr w:rsidR="00006224" w:rsidRPr="00475D0B" w14:paraId="5205E316" w14:textId="77777777" w:rsidTr="001265A4">
        <w:tc>
          <w:tcPr>
            <w:tcW w:w="562" w:type="dxa"/>
            <w:shd w:val="clear" w:color="auto" w:fill="auto"/>
            <w:vAlign w:val="center"/>
          </w:tcPr>
          <w:p w14:paraId="339FC71A" w14:textId="73455776" w:rsidR="00006224" w:rsidRPr="00475D0B" w:rsidRDefault="00006224" w:rsidP="001265A4">
            <w:pPr>
              <w:jc w:val="center"/>
              <w:rPr>
                <w:b/>
                <w:sz w:val="18"/>
                <w:szCs w:val="18"/>
              </w:rPr>
            </w:pPr>
            <w:r w:rsidRPr="00475D0B">
              <w:rPr>
                <w:b/>
                <w:sz w:val="18"/>
                <w:szCs w:val="18"/>
              </w:rPr>
              <w:t>3.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A5F1DC" w14:textId="731AC17D" w:rsidR="00006224" w:rsidRPr="00475D0B" w:rsidRDefault="00006224" w:rsidP="001265A4">
            <w:pPr>
              <w:jc w:val="center"/>
              <w:rPr>
                <w:b/>
                <w:sz w:val="18"/>
                <w:szCs w:val="18"/>
              </w:rPr>
            </w:pPr>
            <w:r w:rsidRPr="00475D0B">
              <w:rPr>
                <w:b/>
                <w:sz w:val="18"/>
                <w:szCs w:val="18"/>
              </w:rPr>
              <w:t>NDAP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03C4E5A" w14:textId="3CA74B6A" w:rsidR="00006224" w:rsidRPr="00475D0B" w:rsidRDefault="00006224" w:rsidP="001265A4">
            <w:pPr>
              <w:jc w:val="center"/>
              <w:rPr>
                <w:sz w:val="18"/>
                <w:szCs w:val="18"/>
              </w:rPr>
            </w:pPr>
            <w:r w:rsidRPr="00475D0B">
              <w:rPr>
                <w:sz w:val="18"/>
                <w:szCs w:val="18"/>
              </w:rPr>
              <w:t>1.2. Cele i korzyści wynikające z projektu</w:t>
            </w:r>
          </w:p>
        </w:tc>
        <w:tc>
          <w:tcPr>
            <w:tcW w:w="4678" w:type="dxa"/>
            <w:shd w:val="clear" w:color="auto" w:fill="auto"/>
          </w:tcPr>
          <w:p w14:paraId="0496ACD7" w14:textId="2740BBCD" w:rsidR="00006224" w:rsidRPr="00475D0B" w:rsidRDefault="00006224" w:rsidP="00006224">
            <w:pPr>
              <w:jc w:val="both"/>
              <w:rPr>
                <w:sz w:val="18"/>
                <w:szCs w:val="18"/>
              </w:rPr>
            </w:pPr>
            <w:r w:rsidRPr="00475D0B">
              <w:rPr>
                <w:sz w:val="18"/>
                <w:szCs w:val="18"/>
              </w:rPr>
              <w:t>W opisie założeń projektu podano, że obecnie zdigitalizowanych jest 7498 obiektów, ale brak</w:t>
            </w:r>
            <w:r w:rsidR="002337B4">
              <w:rPr>
                <w:sz w:val="18"/>
                <w:szCs w:val="18"/>
              </w:rPr>
              <w:t>u</w:t>
            </w:r>
            <w:r w:rsidRPr="00475D0B">
              <w:rPr>
                <w:sz w:val="18"/>
                <w:szCs w:val="18"/>
              </w:rPr>
              <w:t xml:space="preserve"> informacji, gdzie dostępne są ich kopie cyfrowe. </w:t>
            </w:r>
          </w:p>
        </w:tc>
        <w:tc>
          <w:tcPr>
            <w:tcW w:w="5812" w:type="dxa"/>
            <w:shd w:val="clear" w:color="auto" w:fill="auto"/>
          </w:tcPr>
          <w:p w14:paraId="237154ED" w14:textId="77777777" w:rsidR="00006224" w:rsidRPr="00475D0B" w:rsidRDefault="00006224" w:rsidP="00047E9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9" w:type="dxa"/>
          </w:tcPr>
          <w:p w14:paraId="4DD3D101" w14:textId="77777777" w:rsidR="00006224" w:rsidRPr="00475D0B" w:rsidRDefault="00006224" w:rsidP="00047E99">
            <w:pPr>
              <w:jc w:val="center"/>
              <w:rPr>
                <w:sz w:val="18"/>
                <w:szCs w:val="18"/>
              </w:rPr>
            </w:pPr>
          </w:p>
        </w:tc>
      </w:tr>
      <w:tr w:rsidR="00006224" w:rsidRPr="00475D0B" w14:paraId="30AC04B9" w14:textId="77777777" w:rsidTr="001265A4">
        <w:tc>
          <w:tcPr>
            <w:tcW w:w="562" w:type="dxa"/>
            <w:shd w:val="clear" w:color="auto" w:fill="auto"/>
            <w:vAlign w:val="center"/>
          </w:tcPr>
          <w:p w14:paraId="2B302419" w14:textId="53F517E2" w:rsidR="00006224" w:rsidRPr="00475D0B" w:rsidRDefault="00EF51EB" w:rsidP="001265A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E5A0C8" w14:textId="261557AE" w:rsidR="00006224" w:rsidRPr="00475D0B" w:rsidRDefault="00234F72" w:rsidP="001265A4">
            <w:pPr>
              <w:jc w:val="center"/>
              <w:rPr>
                <w:b/>
                <w:sz w:val="18"/>
                <w:szCs w:val="18"/>
              </w:rPr>
            </w:pPr>
            <w:r w:rsidRPr="00475D0B">
              <w:rPr>
                <w:b/>
                <w:sz w:val="18"/>
                <w:szCs w:val="18"/>
              </w:rPr>
              <w:t>NDAP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456005C" w14:textId="218EE374" w:rsidR="00006224" w:rsidRPr="00475D0B" w:rsidRDefault="00006224" w:rsidP="001265A4">
            <w:pPr>
              <w:jc w:val="center"/>
              <w:rPr>
                <w:sz w:val="18"/>
                <w:szCs w:val="18"/>
              </w:rPr>
            </w:pPr>
            <w:r w:rsidRPr="00475D0B">
              <w:rPr>
                <w:sz w:val="18"/>
                <w:szCs w:val="18"/>
              </w:rPr>
              <w:t>2.1. Cele i korzyści wynikające z projektu</w:t>
            </w:r>
          </w:p>
        </w:tc>
        <w:tc>
          <w:tcPr>
            <w:tcW w:w="4678" w:type="dxa"/>
            <w:shd w:val="clear" w:color="auto" w:fill="auto"/>
          </w:tcPr>
          <w:p w14:paraId="62588BE2" w14:textId="45F05488" w:rsidR="00006224" w:rsidRPr="00475D0B" w:rsidRDefault="00006224" w:rsidP="00006224">
            <w:pPr>
              <w:jc w:val="both"/>
              <w:rPr>
                <w:sz w:val="18"/>
                <w:szCs w:val="18"/>
              </w:rPr>
            </w:pPr>
            <w:r w:rsidRPr="00475D0B">
              <w:rPr>
                <w:sz w:val="18"/>
                <w:szCs w:val="18"/>
              </w:rPr>
              <w:t>Jedną z korzyści ma być „Umożliwienie dalszego udostępniania zasobów muzealnych poprzez publikowanie ich na portalu „Kronika@”</w:t>
            </w:r>
            <w:r w:rsidR="002337B4">
              <w:rPr>
                <w:sz w:val="18"/>
                <w:szCs w:val="18"/>
              </w:rPr>
              <w:t xml:space="preserve">. </w:t>
            </w:r>
            <w:r w:rsidR="00EA5C13">
              <w:rPr>
                <w:sz w:val="18"/>
                <w:szCs w:val="18"/>
              </w:rPr>
              <w:t>Należy</w:t>
            </w:r>
            <w:r w:rsidR="002337B4">
              <w:rPr>
                <w:sz w:val="18"/>
                <w:szCs w:val="18"/>
              </w:rPr>
              <w:t xml:space="preserve"> zauważyć, że </w:t>
            </w:r>
            <w:r w:rsidRPr="00475D0B">
              <w:rPr>
                <w:sz w:val="18"/>
                <w:szCs w:val="18"/>
              </w:rPr>
              <w:t>obecnie na portalu Kronika@ Muzeum nie udostępnia danych.</w:t>
            </w:r>
          </w:p>
        </w:tc>
        <w:tc>
          <w:tcPr>
            <w:tcW w:w="5812" w:type="dxa"/>
            <w:shd w:val="clear" w:color="auto" w:fill="auto"/>
          </w:tcPr>
          <w:p w14:paraId="79FB3B5C" w14:textId="77777777" w:rsidR="00006224" w:rsidRPr="00475D0B" w:rsidRDefault="00006224" w:rsidP="00047E9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9" w:type="dxa"/>
          </w:tcPr>
          <w:p w14:paraId="36212598" w14:textId="77777777" w:rsidR="00006224" w:rsidRPr="00475D0B" w:rsidRDefault="00006224" w:rsidP="00047E99">
            <w:pPr>
              <w:jc w:val="center"/>
              <w:rPr>
                <w:sz w:val="18"/>
                <w:szCs w:val="18"/>
              </w:rPr>
            </w:pPr>
          </w:p>
        </w:tc>
      </w:tr>
      <w:tr w:rsidR="00047E99" w:rsidRPr="00475D0B" w14:paraId="350773B2" w14:textId="77777777" w:rsidTr="001265A4">
        <w:tc>
          <w:tcPr>
            <w:tcW w:w="562" w:type="dxa"/>
            <w:shd w:val="clear" w:color="auto" w:fill="auto"/>
            <w:vAlign w:val="center"/>
          </w:tcPr>
          <w:p w14:paraId="0ADBD7F4" w14:textId="767B5735" w:rsidR="00047E99" w:rsidRPr="00475D0B" w:rsidRDefault="00EF51EB" w:rsidP="00EF51E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F86E67" w14:textId="520D656E" w:rsidR="00047E99" w:rsidRPr="00475D0B" w:rsidRDefault="0032266F" w:rsidP="001265A4">
            <w:pPr>
              <w:jc w:val="center"/>
              <w:rPr>
                <w:b/>
                <w:sz w:val="18"/>
                <w:szCs w:val="18"/>
              </w:rPr>
            </w:pPr>
            <w:r w:rsidRPr="00475D0B">
              <w:rPr>
                <w:b/>
                <w:sz w:val="18"/>
                <w:szCs w:val="18"/>
              </w:rPr>
              <w:t>NDAP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BB03931" w14:textId="1A17F8C9" w:rsidR="00047E99" w:rsidRPr="00475D0B" w:rsidRDefault="0032266F" w:rsidP="001265A4">
            <w:pPr>
              <w:jc w:val="center"/>
              <w:rPr>
                <w:sz w:val="18"/>
                <w:szCs w:val="18"/>
              </w:rPr>
            </w:pPr>
            <w:r w:rsidRPr="00475D0B">
              <w:rPr>
                <w:sz w:val="18"/>
                <w:szCs w:val="18"/>
              </w:rPr>
              <w:t>2.1. Cele i korzyści wynikające z projektu</w:t>
            </w:r>
          </w:p>
        </w:tc>
        <w:tc>
          <w:tcPr>
            <w:tcW w:w="4678" w:type="dxa"/>
            <w:shd w:val="clear" w:color="auto" w:fill="auto"/>
          </w:tcPr>
          <w:p w14:paraId="028EC321" w14:textId="0BCFC68A" w:rsidR="00047E99" w:rsidRPr="00475D0B" w:rsidRDefault="0032266F" w:rsidP="00047E99">
            <w:pPr>
              <w:jc w:val="both"/>
              <w:rPr>
                <w:sz w:val="18"/>
                <w:szCs w:val="18"/>
              </w:rPr>
            </w:pPr>
            <w:r w:rsidRPr="00475D0B">
              <w:rPr>
                <w:sz w:val="18"/>
                <w:szCs w:val="18"/>
              </w:rPr>
              <w:t xml:space="preserve">Dla lepszej oceny opiniowanego projektu zasadnym wydaje się usystematyzowanie przedstawionych w opisie korzyści. Służyć temu może ich </w:t>
            </w:r>
            <w:r w:rsidR="002337B4" w:rsidRPr="00475D0B">
              <w:rPr>
                <w:sz w:val="18"/>
                <w:szCs w:val="18"/>
              </w:rPr>
              <w:t xml:space="preserve">pogrupowanie </w:t>
            </w:r>
            <w:r w:rsidRPr="00475D0B">
              <w:rPr>
                <w:sz w:val="18"/>
                <w:szCs w:val="18"/>
              </w:rPr>
              <w:t xml:space="preserve">w podziałem na np. te związane efektami udostępniania </w:t>
            </w:r>
            <w:r w:rsidR="002337B4">
              <w:rPr>
                <w:sz w:val="18"/>
                <w:szCs w:val="18"/>
              </w:rPr>
              <w:t>oraz te odnoszące się do</w:t>
            </w:r>
            <w:r w:rsidRPr="00475D0B">
              <w:rPr>
                <w:sz w:val="18"/>
                <w:szCs w:val="18"/>
              </w:rPr>
              <w:t xml:space="preserve"> </w:t>
            </w:r>
            <w:r w:rsidR="002337B4">
              <w:rPr>
                <w:sz w:val="18"/>
                <w:szCs w:val="18"/>
              </w:rPr>
              <w:t xml:space="preserve">kwestii </w:t>
            </w:r>
            <w:r w:rsidRPr="00475D0B">
              <w:rPr>
                <w:sz w:val="18"/>
                <w:szCs w:val="18"/>
              </w:rPr>
              <w:t>techniczny</w:t>
            </w:r>
            <w:r w:rsidR="002337B4">
              <w:rPr>
                <w:sz w:val="18"/>
                <w:szCs w:val="18"/>
              </w:rPr>
              <w:t>ch</w:t>
            </w:r>
            <w:r w:rsidRPr="00475D0B">
              <w:rPr>
                <w:sz w:val="18"/>
                <w:szCs w:val="18"/>
              </w:rPr>
              <w:t xml:space="preserve"> udostępniania muzealiów w </w:t>
            </w:r>
            <w:proofErr w:type="spellStart"/>
            <w:r w:rsidRPr="00475D0B">
              <w:rPr>
                <w:sz w:val="18"/>
                <w:szCs w:val="18"/>
              </w:rPr>
              <w:t>internecie</w:t>
            </w:r>
            <w:proofErr w:type="spellEnd"/>
            <w:r w:rsidRPr="00475D0B">
              <w:rPr>
                <w:sz w:val="18"/>
                <w:szCs w:val="18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14:paraId="39E0708D" w14:textId="77777777" w:rsidR="00047E99" w:rsidRPr="00475D0B" w:rsidRDefault="00047E99" w:rsidP="00047E9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9" w:type="dxa"/>
          </w:tcPr>
          <w:p w14:paraId="724AA777" w14:textId="77777777" w:rsidR="00047E99" w:rsidRPr="00475D0B" w:rsidRDefault="00047E99" w:rsidP="00047E99">
            <w:pPr>
              <w:jc w:val="center"/>
              <w:rPr>
                <w:sz w:val="18"/>
                <w:szCs w:val="18"/>
              </w:rPr>
            </w:pPr>
          </w:p>
        </w:tc>
      </w:tr>
      <w:tr w:rsidR="00154627" w:rsidRPr="00475D0B" w14:paraId="255BE2BD" w14:textId="77777777" w:rsidTr="001265A4">
        <w:tc>
          <w:tcPr>
            <w:tcW w:w="562" w:type="dxa"/>
            <w:shd w:val="clear" w:color="auto" w:fill="auto"/>
            <w:vAlign w:val="center"/>
          </w:tcPr>
          <w:p w14:paraId="79EE4A0E" w14:textId="36870FF1" w:rsidR="00154627" w:rsidRPr="00475D0B" w:rsidRDefault="00EF51EB" w:rsidP="00EF51E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9BE57C" w14:textId="7344EEB8" w:rsidR="00154627" w:rsidRPr="00475D0B" w:rsidRDefault="00154627" w:rsidP="001265A4">
            <w:pPr>
              <w:jc w:val="center"/>
              <w:rPr>
                <w:b/>
                <w:sz w:val="18"/>
                <w:szCs w:val="18"/>
              </w:rPr>
            </w:pPr>
            <w:r w:rsidRPr="00475D0B">
              <w:rPr>
                <w:b/>
                <w:sz w:val="18"/>
                <w:szCs w:val="18"/>
              </w:rPr>
              <w:t>NDAP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BF9D31" w14:textId="4F117D0A" w:rsidR="00154627" w:rsidRPr="00475D0B" w:rsidRDefault="00154627" w:rsidP="001265A4">
            <w:pPr>
              <w:jc w:val="center"/>
              <w:rPr>
                <w:sz w:val="18"/>
                <w:szCs w:val="18"/>
              </w:rPr>
            </w:pPr>
            <w:r w:rsidRPr="00475D0B">
              <w:rPr>
                <w:sz w:val="18"/>
                <w:szCs w:val="18"/>
              </w:rPr>
              <w:t>2.1. Cele i korzyści wynikające z projektu</w:t>
            </w:r>
          </w:p>
        </w:tc>
        <w:tc>
          <w:tcPr>
            <w:tcW w:w="4678" w:type="dxa"/>
            <w:shd w:val="clear" w:color="auto" w:fill="auto"/>
          </w:tcPr>
          <w:p w14:paraId="39FE1DCB" w14:textId="3765F8AB" w:rsidR="00154627" w:rsidRPr="00475D0B" w:rsidRDefault="00A75EA9" w:rsidP="00154627">
            <w:pPr>
              <w:jc w:val="both"/>
              <w:rPr>
                <w:sz w:val="18"/>
                <w:szCs w:val="18"/>
              </w:rPr>
            </w:pPr>
            <w:r w:rsidRPr="00475D0B">
              <w:rPr>
                <w:sz w:val="18"/>
                <w:szCs w:val="18"/>
              </w:rPr>
              <w:t xml:space="preserve">W opisie korzyści wynikających z dofinansowania projektu zabrakło informacji o poprawie infrastruktury Muzeum Podlaskiego w Białymstoku, za pomocą której tworzone będą </w:t>
            </w:r>
            <w:r w:rsidR="002337B4">
              <w:rPr>
                <w:sz w:val="18"/>
                <w:szCs w:val="18"/>
              </w:rPr>
              <w:t xml:space="preserve">kopie cyfrowe </w:t>
            </w:r>
            <w:r w:rsidRPr="00475D0B">
              <w:rPr>
                <w:sz w:val="18"/>
                <w:szCs w:val="18"/>
              </w:rPr>
              <w:t>materiał</w:t>
            </w:r>
            <w:r w:rsidR="002337B4">
              <w:rPr>
                <w:sz w:val="18"/>
                <w:szCs w:val="18"/>
              </w:rPr>
              <w:t>ów</w:t>
            </w:r>
            <w:r w:rsidRPr="00475D0B">
              <w:rPr>
                <w:sz w:val="18"/>
                <w:szCs w:val="18"/>
              </w:rPr>
              <w:t xml:space="preserve"> udostępnion</w:t>
            </w:r>
            <w:r w:rsidR="002337B4">
              <w:rPr>
                <w:sz w:val="18"/>
                <w:szCs w:val="18"/>
              </w:rPr>
              <w:t>ych</w:t>
            </w:r>
            <w:r w:rsidRPr="00475D0B">
              <w:rPr>
                <w:sz w:val="18"/>
                <w:szCs w:val="18"/>
              </w:rPr>
              <w:t xml:space="preserve"> w </w:t>
            </w:r>
            <w:proofErr w:type="spellStart"/>
            <w:r w:rsidRPr="00475D0B">
              <w:rPr>
                <w:sz w:val="18"/>
                <w:szCs w:val="18"/>
              </w:rPr>
              <w:t>internecie</w:t>
            </w:r>
            <w:proofErr w:type="spellEnd"/>
            <w:r w:rsidRPr="00475D0B">
              <w:rPr>
                <w:sz w:val="18"/>
                <w:szCs w:val="18"/>
              </w:rPr>
              <w:t xml:space="preserve">. </w:t>
            </w:r>
          </w:p>
        </w:tc>
        <w:tc>
          <w:tcPr>
            <w:tcW w:w="5812" w:type="dxa"/>
            <w:shd w:val="clear" w:color="auto" w:fill="auto"/>
          </w:tcPr>
          <w:p w14:paraId="64C9C90A" w14:textId="77777777" w:rsidR="00154627" w:rsidRPr="00475D0B" w:rsidRDefault="00154627" w:rsidP="0015462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9" w:type="dxa"/>
          </w:tcPr>
          <w:p w14:paraId="2C326BBC" w14:textId="77777777" w:rsidR="00154627" w:rsidRPr="00475D0B" w:rsidRDefault="00154627" w:rsidP="00154627">
            <w:pPr>
              <w:jc w:val="center"/>
              <w:rPr>
                <w:sz w:val="18"/>
                <w:szCs w:val="18"/>
              </w:rPr>
            </w:pPr>
          </w:p>
        </w:tc>
      </w:tr>
      <w:tr w:rsidR="00A75EA9" w:rsidRPr="00475D0B" w14:paraId="7F0092A0" w14:textId="77777777" w:rsidTr="001265A4">
        <w:tc>
          <w:tcPr>
            <w:tcW w:w="562" w:type="dxa"/>
            <w:shd w:val="clear" w:color="auto" w:fill="auto"/>
            <w:vAlign w:val="center"/>
          </w:tcPr>
          <w:p w14:paraId="51164586" w14:textId="65603007" w:rsidR="00A75EA9" w:rsidRPr="00475D0B" w:rsidRDefault="00EF51EB" w:rsidP="00EF51E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760FDA" w14:textId="5940391F" w:rsidR="00A75EA9" w:rsidRPr="00475D0B" w:rsidRDefault="00A75EA9" w:rsidP="001265A4">
            <w:pPr>
              <w:jc w:val="center"/>
              <w:rPr>
                <w:b/>
                <w:sz w:val="18"/>
                <w:szCs w:val="18"/>
              </w:rPr>
            </w:pPr>
            <w:r w:rsidRPr="00475D0B">
              <w:rPr>
                <w:b/>
                <w:sz w:val="18"/>
                <w:szCs w:val="18"/>
              </w:rPr>
              <w:t>NDAP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4B06CB" w14:textId="0FDC4E7B" w:rsidR="00A75EA9" w:rsidRPr="00475D0B" w:rsidRDefault="00A75EA9" w:rsidP="001265A4">
            <w:pPr>
              <w:jc w:val="center"/>
              <w:rPr>
                <w:sz w:val="18"/>
                <w:szCs w:val="18"/>
              </w:rPr>
            </w:pPr>
            <w:r w:rsidRPr="00475D0B">
              <w:rPr>
                <w:sz w:val="18"/>
                <w:szCs w:val="18"/>
              </w:rPr>
              <w:t>2.1. Cele i korzyści wynikające z projektu</w:t>
            </w:r>
          </w:p>
        </w:tc>
        <w:tc>
          <w:tcPr>
            <w:tcW w:w="4678" w:type="dxa"/>
            <w:shd w:val="clear" w:color="auto" w:fill="auto"/>
          </w:tcPr>
          <w:p w14:paraId="43508977" w14:textId="4DE2DF82" w:rsidR="00A75EA9" w:rsidRPr="00475D0B" w:rsidRDefault="00A75EA9" w:rsidP="00A75EA9">
            <w:pPr>
              <w:jc w:val="both"/>
              <w:rPr>
                <w:sz w:val="18"/>
                <w:szCs w:val="18"/>
              </w:rPr>
            </w:pPr>
            <w:r w:rsidRPr="00475D0B">
              <w:rPr>
                <w:sz w:val="18"/>
                <w:szCs w:val="18"/>
              </w:rPr>
              <w:t>W punktach 16. i 17. wskazano dwa razy wskazano na międzynarodowe korzyści, jakie Muzeum Podlaskiego w Białymstoku spodziewa się uzyskać po ewentualnym dofinansowaniu ich projektu. Z uwagi na regionalny charakter muzealiów zgromadzonych w tym muzeum w opisie tego punktu brakuje informacji na temat „wzrostu potencjału Muzeum” na poziomie regionalnym.</w:t>
            </w:r>
            <w:r w:rsidR="001B0E9B">
              <w:rPr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shd w:val="clear" w:color="auto" w:fill="auto"/>
          </w:tcPr>
          <w:p w14:paraId="03B66D7B" w14:textId="77777777" w:rsidR="00A75EA9" w:rsidRPr="00475D0B" w:rsidRDefault="00A75EA9" w:rsidP="00A75E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9" w:type="dxa"/>
          </w:tcPr>
          <w:p w14:paraId="0892B398" w14:textId="77777777" w:rsidR="00A75EA9" w:rsidRPr="00475D0B" w:rsidRDefault="00A75EA9" w:rsidP="00A75EA9">
            <w:pPr>
              <w:jc w:val="center"/>
              <w:rPr>
                <w:sz w:val="18"/>
                <w:szCs w:val="18"/>
              </w:rPr>
            </w:pPr>
          </w:p>
        </w:tc>
      </w:tr>
      <w:tr w:rsidR="00475D0B" w:rsidRPr="00475D0B" w14:paraId="53B658CA" w14:textId="77777777" w:rsidTr="001265A4">
        <w:tc>
          <w:tcPr>
            <w:tcW w:w="562" w:type="dxa"/>
            <w:shd w:val="clear" w:color="auto" w:fill="auto"/>
            <w:vAlign w:val="center"/>
          </w:tcPr>
          <w:p w14:paraId="0FF9A50A" w14:textId="2D60606E" w:rsidR="00475D0B" w:rsidRPr="00475D0B" w:rsidRDefault="00EF51EB" w:rsidP="00EF51E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3D2049" w14:textId="51381F7E" w:rsidR="00475D0B" w:rsidRPr="00475D0B" w:rsidRDefault="00475D0B" w:rsidP="001265A4">
            <w:pPr>
              <w:jc w:val="center"/>
              <w:rPr>
                <w:b/>
                <w:sz w:val="18"/>
                <w:szCs w:val="18"/>
              </w:rPr>
            </w:pPr>
            <w:r w:rsidRPr="007E17E2">
              <w:rPr>
                <w:b/>
                <w:sz w:val="18"/>
                <w:szCs w:val="18"/>
              </w:rPr>
              <w:t>NDAP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0C7E70" w14:textId="6CFC9AFA" w:rsidR="00475D0B" w:rsidRPr="00475D0B" w:rsidRDefault="00475D0B" w:rsidP="001265A4">
            <w:pPr>
              <w:jc w:val="center"/>
              <w:rPr>
                <w:sz w:val="18"/>
                <w:szCs w:val="18"/>
              </w:rPr>
            </w:pPr>
            <w:r w:rsidRPr="00475D0B">
              <w:rPr>
                <w:sz w:val="18"/>
                <w:szCs w:val="18"/>
              </w:rPr>
              <w:t>2.4. Produkty końcowe projektu</w:t>
            </w:r>
          </w:p>
        </w:tc>
        <w:tc>
          <w:tcPr>
            <w:tcW w:w="4678" w:type="dxa"/>
            <w:shd w:val="clear" w:color="auto" w:fill="auto"/>
          </w:tcPr>
          <w:p w14:paraId="1D5B7A83" w14:textId="6411D767" w:rsidR="00475D0B" w:rsidRPr="00475D0B" w:rsidRDefault="00475D0B" w:rsidP="00475D0B">
            <w:pPr>
              <w:jc w:val="both"/>
              <w:rPr>
                <w:sz w:val="18"/>
                <w:szCs w:val="18"/>
              </w:rPr>
            </w:pPr>
            <w:r w:rsidRPr="00475D0B">
              <w:rPr>
                <w:sz w:val="18"/>
                <w:szCs w:val="18"/>
              </w:rPr>
              <w:t xml:space="preserve">Wśród produktów nie zostały wymienione kopie cyfrowe obiektów i ich opisy. </w:t>
            </w:r>
          </w:p>
        </w:tc>
        <w:tc>
          <w:tcPr>
            <w:tcW w:w="5812" w:type="dxa"/>
            <w:shd w:val="clear" w:color="auto" w:fill="auto"/>
          </w:tcPr>
          <w:p w14:paraId="5977B5C0" w14:textId="77777777" w:rsidR="00475D0B" w:rsidRPr="00475D0B" w:rsidRDefault="00475D0B" w:rsidP="00475D0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9" w:type="dxa"/>
          </w:tcPr>
          <w:p w14:paraId="60846F80" w14:textId="77777777" w:rsidR="00475D0B" w:rsidRPr="00475D0B" w:rsidRDefault="00475D0B" w:rsidP="00475D0B">
            <w:pPr>
              <w:jc w:val="center"/>
              <w:rPr>
                <w:sz w:val="18"/>
                <w:szCs w:val="18"/>
              </w:rPr>
            </w:pPr>
          </w:p>
        </w:tc>
      </w:tr>
      <w:tr w:rsidR="00475D0B" w:rsidRPr="00475D0B" w14:paraId="44879CA1" w14:textId="77777777" w:rsidTr="001265A4">
        <w:tc>
          <w:tcPr>
            <w:tcW w:w="562" w:type="dxa"/>
            <w:shd w:val="clear" w:color="auto" w:fill="auto"/>
            <w:vAlign w:val="center"/>
          </w:tcPr>
          <w:p w14:paraId="20808D29" w14:textId="4A154762" w:rsidR="00475D0B" w:rsidRPr="00475D0B" w:rsidRDefault="00EF51EB" w:rsidP="00EF51E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EB41929" w14:textId="711D1696" w:rsidR="00475D0B" w:rsidRPr="00475D0B" w:rsidRDefault="00475D0B" w:rsidP="001265A4">
            <w:pPr>
              <w:jc w:val="center"/>
              <w:rPr>
                <w:b/>
                <w:sz w:val="18"/>
                <w:szCs w:val="18"/>
              </w:rPr>
            </w:pPr>
            <w:r w:rsidRPr="007E17E2">
              <w:rPr>
                <w:b/>
                <w:sz w:val="18"/>
                <w:szCs w:val="18"/>
              </w:rPr>
              <w:t>NDAP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362DBB" w14:textId="2C8766EC" w:rsidR="00475D0B" w:rsidRPr="00475D0B" w:rsidRDefault="00475D0B" w:rsidP="001265A4">
            <w:pPr>
              <w:jc w:val="center"/>
              <w:rPr>
                <w:sz w:val="18"/>
                <w:szCs w:val="18"/>
              </w:rPr>
            </w:pPr>
            <w:r w:rsidRPr="00475D0B">
              <w:rPr>
                <w:sz w:val="18"/>
                <w:szCs w:val="18"/>
              </w:rPr>
              <w:t>3. Kamienie milowe</w:t>
            </w:r>
          </w:p>
        </w:tc>
        <w:tc>
          <w:tcPr>
            <w:tcW w:w="4678" w:type="dxa"/>
            <w:shd w:val="clear" w:color="auto" w:fill="auto"/>
          </w:tcPr>
          <w:p w14:paraId="5F85583E" w14:textId="7E68CF1A" w:rsidR="00475D0B" w:rsidRPr="00475D0B" w:rsidRDefault="00475D0B" w:rsidP="00475D0B">
            <w:pPr>
              <w:jc w:val="both"/>
              <w:rPr>
                <w:sz w:val="18"/>
                <w:szCs w:val="18"/>
              </w:rPr>
            </w:pPr>
            <w:r w:rsidRPr="00475D0B">
              <w:rPr>
                <w:sz w:val="18"/>
                <w:szCs w:val="18"/>
              </w:rPr>
              <w:t xml:space="preserve">W opisie kamieni milowych projektu użyto niejasnego terminu „archiwizacja” w kontekście zabytków. Projekt opisu założeń nie zawiera definicji terminu „archiwizacja” w opisanym w paradygmacie. Z tego powodu nie wiadomo jak rozumiana jest wymieniona czterokrotnie „archiwizacja zabytków” (kamienie milowe 6-9)? Niejasności z tym związane pogłębia fakt, ze termin „archiwizacja” został zdefiniowany w literaturze archiwistycznej. Posiada on dwa wyjaśnienia: 1. proces tracenia przez materiały archiwalne twórcy zespołu </w:t>
            </w:r>
            <w:r w:rsidRPr="00475D0B">
              <w:rPr>
                <w:sz w:val="18"/>
                <w:szCs w:val="18"/>
              </w:rPr>
              <w:lastRenderedPageBreak/>
              <w:t>związku z jego bieżącą działalnością; 2. przygotowania i przekazanie materiałów archiwalnych do archiwum (</w:t>
            </w:r>
            <w:r w:rsidRPr="00475D0B">
              <w:rPr>
                <w:i/>
                <w:iCs/>
                <w:sz w:val="18"/>
                <w:szCs w:val="18"/>
              </w:rPr>
              <w:t>Polski Słownik Archiwalny</w:t>
            </w:r>
            <w:r w:rsidRPr="00475D0B">
              <w:rPr>
                <w:sz w:val="18"/>
                <w:szCs w:val="18"/>
              </w:rPr>
              <w:t xml:space="preserve">, red. W. Maciejewska, Warszawa 1974, s.18). Wyjaśnienie to aktualnie uległo częściowej dezaktualizacji. Co więcej, mając na uwadze charakter prac wykonywanych podmiotach prowadzących działalność archiwalną w zakresie państwowego zasobu archiwalnego, wymienionych w art. 22 ustawy z dnia 14 lipca 1983 r. </w:t>
            </w:r>
            <w:r w:rsidRPr="00475D0B">
              <w:rPr>
                <w:i/>
                <w:iCs/>
                <w:sz w:val="18"/>
                <w:szCs w:val="18"/>
              </w:rPr>
              <w:t xml:space="preserve">o narodowym zasobie archiwalnym i archiwach </w:t>
            </w:r>
            <w:r w:rsidRPr="00475D0B">
              <w:rPr>
                <w:sz w:val="18"/>
                <w:szCs w:val="18"/>
              </w:rPr>
              <w:t xml:space="preserve">(Dz. U. z 2020 r. poz. 164, ze zm.), których nadrzędnym celem jest m.in. udostępnianie dokumentacji, za niewykluczone, a przede wszystkim uzasadnione należy uznać inne niż przytoczone w literaturze rozumienie terminu „archiwizacja”, mianowicie jako czynności związanej z przygotowaniem i przekazaniem dokumentacji do archiwum. Warto przy tym zauważyć, że wykorzystywanie wyjaśnień z wypowiedzi faktywnych stanowi – </w:t>
            </w:r>
            <w:r w:rsidRPr="00475D0B">
              <w:rPr>
                <w:i/>
                <w:iCs/>
                <w:sz w:val="18"/>
                <w:szCs w:val="18"/>
              </w:rPr>
              <w:t>prima facie</w:t>
            </w:r>
            <w:r w:rsidRPr="00475D0B">
              <w:rPr>
                <w:sz w:val="18"/>
                <w:szCs w:val="18"/>
              </w:rPr>
              <w:t xml:space="preserve"> – jeden z aspektów rozumienia terminów, a także ich interpretacji (wykładni). </w:t>
            </w:r>
          </w:p>
        </w:tc>
        <w:tc>
          <w:tcPr>
            <w:tcW w:w="5812" w:type="dxa"/>
            <w:shd w:val="clear" w:color="auto" w:fill="auto"/>
          </w:tcPr>
          <w:p w14:paraId="19971F4A" w14:textId="04F6B08F" w:rsidR="00475D0B" w:rsidRPr="00475D0B" w:rsidRDefault="00475D0B" w:rsidP="00475D0B">
            <w:pPr>
              <w:jc w:val="both"/>
              <w:rPr>
                <w:sz w:val="18"/>
                <w:szCs w:val="18"/>
              </w:rPr>
            </w:pPr>
            <w:r w:rsidRPr="00475D0B">
              <w:rPr>
                <w:sz w:val="18"/>
                <w:szCs w:val="18"/>
              </w:rPr>
              <w:lastRenderedPageBreak/>
              <w:t>Z uwagi na opisane rozbieżności terminologiczne występujące w literaturze przedmiotu, a przede wszystkim przedstawiony, praktyczny kontekst używania terminu „archiwizacja”, który trudno uznać za normę prawną, zasadnym byłoby, doprecyzowanie tak użytego sformułowania lub zastąpienie go innym określeniem.</w:t>
            </w:r>
          </w:p>
        </w:tc>
        <w:tc>
          <w:tcPr>
            <w:tcW w:w="1359" w:type="dxa"/>
          </w:tcPr>
          <w:p w14:paraId="5598086A" w14:textId="77777777" w:rsidR="00475D0B" w:rsidRPr="00475D0B" w:rsidRDefault="00475D0B" w:rsidP="00475D0B">
            <w:pPr>
              <w:jc w:val="center"/>
              <w:rPr>
                <w:sz w:val="18"/>
                <w:szCs w:val="18"/>
              </w:rPr>
            </w:pPr>
          </w:p>
        </w:tc>
      </w:tr>
      <w:tr w:rsidR="00475D0B" w:rsidRPr="00475D0B" w14:paraId="75C76BA0" w14:textId="77777777" w:rsidTr="001265A4">
        <w:tc>
          <w:tcPr>
            <w:tcW w:w="562" w:type="dxa"/>
            <w:shd w:val="clear" w:color="auto" w:fill="auto"/>
            <w:vAlign w:val="center"/>
          </w:tcPr>
          <w:p w14:paraId="0EF98CA1" w14:textId="14DF0025" w:rsidR="00475D0B" w:rsidRPr="00475D0B" w:rsidRDefault="00EF51EB" w:rsidP="00EF51E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94C339" w14:textId="03F87554" w:rsidR="00475D0B" w:rsidRPr="00475D0B" w:rsidRDefault="00475D0B" w:rsidP="001265A4">
            <w:pPr>
              <w:jc w:val="center"/>
              <w:rPr>
                <w:b/>
                <w:sz w:val="18"/>
                <w:szCs w:val="18"/>
              </w:rPr>
            </w:pPr>
            <w:r w:rsidRPr="007E17E2">
              <w:rPr>
                <w:b/>
                <w:sz w:val="18"/>
                <w:szCs w:val="18"/>
              </w:rPr>
              <w:t>NDAP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05F242" w14:textId="7A3B27E3" w:rsidR="00475D0B" w:rsidRPr="00475D0B" w:rsidRDefault="00475D0B" w:rsidP="001265A4">
            <w:pPr>
              <w:jc w:val="center"/>
              <w:rPr>
                <w:sz w:val="18"/>
                <w:szCs w:val="18"/>
              </w:rPr>
            </w:pPr>
            <w:r w:rsidRPr="00475D0B">
              <w:rPr>
                <w:sz w:val="18"/>
                <w:szCs w:val="18"/>
              </w:rPr>
              <w:t>4.2. Wykaz poszczególnych pozycji kosztowych</w:t>
            </w:r>
          </w:p>
          <w:p w14:paraId="6412272A" w14:textId="77777777" w:rsidR="00475D0B" w:rsidRPr="00475D0B" w:rsidRDefault="00475D0B" w:rsidP="001265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78" w:type="dxa"/>
            <w:shd w:val="clear" w:color="auto" w:fill="auto"/>
          </w:tcPr>
          <w:p w14:paraId="27755EB6" w14:textId="05CE99C3" w:rsidR="00475D0B" w:rsidRPr="00475D0B" w:rsidRDefault="00475D0B" w:rsidP="00475D0B">
            <w:pPr>
              <w:jc w:val="both"/>
              <w:rPr>
                <w:sz w:val="18"/>
                <w:szCs w:val="18"/>
              </w:rPr>
            </w:pPr>
            <w:r w:rsidRPr="00475D0B">
              <w:rPr>
                <w:sz w:val="18"/>
                <w:szCs w:val="18"/>
              </w:rPr>
              <w:t>W opisie założeń projektu brakuje informacji czy w ewidencji archiwaliów zostaną uwzględnione standardy opisu archiwalnego. Ponadto</w:t>
            </w:r>
            <w:r w:rsidR="002337B4">
              <w:rPr>
                <w:sz w:val="18"/>
                <w:szCs w:val="18"/>
              </w:rPr>
              <w:t>,</w:t>
            </w:r>
            <w:r w:rsidRPr="00475D0B">
              <w:rPr>
                <w:sz w:val="18"/>
                <w:szCs w:val="18"/>
              </w:rPr>
              <w:t xml:space="preserve"> w kosztach nie wspomniano o wynagrodzeniu osób dokonujących opisu i digitalizacji. Brakuje informacji czy te prace będą wykonywać pracownicy Muzeum Podlaskiego w Białymstoku w ramach zadań służbowych i wolontariusze? </w:t>
            </w:r>
          </w:p>
        </w:tc>
        <w:tc>
          <w:tcPr>
            <w:tcW w:w="5812" w:type="dxa"/>
            <w:shd w:val="clear" w:color="auto" w:fill="auto"/>
          </w:tcPr>
          <w:p w14:paraId="5CBF2789" w14:textId="77777777" w:rsidR="00475D0B" w:rsidRPr="00475D0B" w:rsidRDefault="00475D0B" w:rsidP="00475D0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9" w:type="dxa"/>
          </w:tcPr>
          <w:p w14:paraId="2C5C8E2F" w14:textId="77777777" w:rsidR="00475D0B" w:rsidRPr="00475D0B" w:rsidRDefault="00475D0B" w:rsidP="00475D0B">
            <w:pPr>
              <w:jc w:val="center"/>
              <w:rPr>
                <w:sz w:val="18"/>
                <w:szCs w:val="18"/>
              </w:rPr>
            </w:pPr>
          </w:p>
        </w:tc>
      </w:tr>
    </w:tbl>
    <w:p w14:paraId="5405FE1B" w14:textId="77777777" w:rsidR="00C64B1B" w:rsidRPr="00475D0B" w:rsidRDefault="00C64B1B" w:rsidP="00B556C9">
      <w:pPr>
        <w:jc w:val="center"/>
      </w:pPr>
    </w:p>
    <w:sectPr w:rsidR="00C64B1B" w:rsidRPr="00475D0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B775BE"/>
    <w:multiLevelType w:val="multilevel"/>
    <w:tmpl w:val="BCB60E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5134554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06224"/>
    <w:rsid w:val="00034258"/>
    <w:rsid w:val="00047E99"/>
    <w:rsid w:val="00053A3F"/>
    <w:rsid w:val="00066299"/>
    <w:rsid w:val="001265A4"/>
    <w:rsid w:val="00140BE8"/>
    <w:rsid w:val="00154627"/>
    <w:rsid w:val="0019648E"/>
    <w:rsid w:val="001B0E9B"/>
    <w:rsid w:val="002337B4"/>
    <w:rsid w:val="00234F72"/>
    <w:rsid w:val="002715B2"/>
    <w:rsid w:val="003124D1"/>
    <w:rsid w:val="0032266F"/>
    <w:rsid w:val="003B4105"/>
    <w:rsid w:val="003E59C6"/>
    <w:rsid w:val="00475D0B"/>
    <w:rsid w:val="004D086F"/>
    <w:rsid w:val="005F6527"/>
    <w:rsid w:val="00600F62"/>
    <w:rsid w:val="006705EC"/>
    <w:rsid w:val="006E16E9"/>
    <w:rsid w:val="006E716E"/>
    <w:rsid w:val="00807385"/>
    <w:rsid w:val="00944932"/>
    <w:rsid w:val="009E5FDB"/>
    <w:rsid w:val="00A06425"/>
    <w:rsid w:val="00A75EA9"/>
    <w:rsid w:val="00AC7796"/>
    <w:rsid w:val="00B556C9"/>
    <w:rsid w:val="00B871B6"/>
    <w:rsid w:val="00C64B1B"/>
    <w:rsid w:val="00CD5EB0"/>
    <w:rsid w:val="00D46157"/>
    <w:rsid w:val="00DB3A59"/>
    <w:rsid w:val="00DE2378"/>
    <w:rsid w:val="00E14C33"/>
    <w:rsid w:val="00EA5C13"/>
    <w:rsid w:val="00EF5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2AF06A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556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1229</Words>
  <Characters>7376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8588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Koneczny Bartosz</cp:lastModifiedBy>
  <cp:revision>2</cp:revision>
  <dcterms:created xsi:type="dcterms:W3CDTF">2024-11-25T11:16:00Z</dcterms:created>
  <dcterms:modified xsi:type="dcterms:W3CDTF">2024-11-25T11:16:00Z</dcterms:modified>
</cp:coreProperties>
</file>